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07933" w:rsidRDefault="00063C95">
      <w:pPr>
        <w:pStyle w:val="Heading1"/>
        <w:spacing w:before="480" w:after="120"/>
        <w:contextualSpacing w:val="0"/>
      </w:pPr>
      <w:bookmarkStart w:id="0" w:name="h.ikygc3mukiip" w:colFirst="0" w:colLast="0"/>
      <w:bookmarkEnd w:id="0"/>
      <w:r>
        <w:rPr>
          <w:rFonts w:ascii="Arial" w:eastAsia="Arial" w:hAnsi="Arial" w:cs="Arial"/>
          <w:b/>
          <w:sz w:val="28"/>
          <w:szCs w:val="28"/>
        </w:rPr>
        <w:t>ENVRI</w:t>
      </w:r>
      <w:r w:rsidR="007F42DB">
        <w:rPr>
          <w:rFonts w:ascii="Arial" w:eastAsia="Arial" w:hAnsi="Arial" w:cs="Arial"/>
          <w:b/>
          <w:sz w:val="28"/>
          <w:szCs w:val="28"/>
        </w:rPr>
        <w:t>plus</w:t>
      </w:r>
      <w:r>
        <w:rPr>
          <w:rFonts w:ascii="Arial" w:eastAsia="Arial" w:hAnsi="Arial" w:cs="Arial"/>
          <w:b/>
          <w:sz w:val="28"/>
          <w:szCs w:val="28"/>
        </w:rPr>
        <w:t xml:space="preserve"> Exchange of Personnel programme</w:t>
      </w:r>
    </w:p>
    <w:p w:rsidR="00807933" w:rsidRDefault="00807933">
      <w:pPr>
        <w:pStyle w:val="normal0"/>
      </w:pPr>
    </w:p>
    <w:p w:rsidR="00807933" w:rsidRDefault="00063C95">
      <w:pPr>
        <w:pStyle w:val="Heading1"/>
        <w:contextualSpacing w:val="0"/>
      </w:pPr>
      <w:bookmarkStart w:id="1" w:name="h.ssa7o5iffbqk" w:colFirst="0" w:colLast="0"/>
      <w:bookmarkEnd w:id="1"/>
      <w:r>
        <w:t>Application template</w:t>
      </w:r>
      <w:r>
        <w:rPr>
          <w:rFonts w:ascii="Arial" w:eastAsia="Arial" w:hAnsi="Arial" w:cs="Arial"/>
          <w:sz w:val="22"/>
          <w:szCs w:val="22"/>
        </w:rPr>
        <w:t xml:space="preserve">* </w:t>
      </w:r>
    </w:p>
    <w:p w:rsidR="00807933" w:rsidRDefault="00807933">
      <w:pPr>
        <w:pStyle w:val="normal0"/>
      </w:pPr>
    </w:p>
    <w:p w:rsidR="00807933" w:rsidRDefault="00807933">
      <w:pPr>
        <w:pStyle w:val="normal0"/>
      </w:pPr>
    </w:p>
    <w:p w:rsidR="00807933" w:rsidRDefault="00063C95">
      <w:pPr>
        <w:pStyle w:val="normal0"/>
      </w:pPr>
      <w:r>
        <w:t xml:space="preserve">1. Research Infrastructures involved &amp; supervisor / person responsible: </w:t>
      </w:r>
    </w:p>
    <w:tbl>
      <w:tblPr>
        <w:tblStyle w:val="a"/>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090"/>
      </w:tblGrid>
      <w:tr w:rsidR="00807933">
        <w:tc>
          <w:tcPr>
            <w:tcW w:w="3120" w:type="dxa"/>
            <w:tcMar>
              <w:top w:w="100" w:type="dxa"/>
              <w:left w:w="100" w:type="dxa"/>
              <w:bottom w:w="100" w:type="dxa"/>
              <w:right w:w="100" w:type="dxa"/>
            </w:tcMar>
          </w:tcPr>
          <w:p w:rsidR="00807933" w:rsidRDefault="00063C95">
            <w:pPr>
              <w:pStyle w:val="normal0"/>
              <w:widowControl w:val="0"/>
              <w:spacing w:line="240" w:lineRule="auto"/>
            </w:pPr>
            <w:r>
              <w:t xml:space="preserve">1. </w:t>
            </w:r>
          </w:p>
        </w:tc>
        <w:tc>
          <w:tcPr>
            <w:tcW w:w="3120" w:type="dxa"/>
            <w:tcMar>
              <w:top w:w="100" w:type="dxa"/>
              <w:left w:w="100" w:type="dxa"/>
              <w:bottom w:w="100" w:type="dxa"/>
              <w:right w:w="100" w:type="dxa"/>
            </w:tcMar>
          </w:tcPr>
          <w:p w:rsidR="00807933" w:rsidRDefault="00063C95">
            <w:pPr>
              <w:pStyle w:val="normal0"/>
              <w:widowControl w:val="0"/>
              <w:spacing w:line="240" w:lineRule="auto"/>
            </w:pPr>
            <w:r>
              <w:t xml:space="preserve">2. </w:t>
            </w:r>
          </w:p>
        </w:tc>
        <w:tc>
          <w:tcPr>
            <w:tcW w:w="3090" w:type="dxa"/>
            <w:tcMar>
              <w:top w:w="100" w:type="dxa"/>
              <w:left w:w="100" w:type="dxa"/>
              <w:bottom w:w="100" w:type="dxa"/>
              <w:right w:w="100" w:type="dxa"/>
            </w:tcMar>
          </w:tcPr>
          <w:p w:rsidR="00807933" w:rsidRDefault="00063C95">
            <w:pPr>
              <w:pStyle w:val="normal0"/>
              <w:widowControl w:val="0"/>
              <w:spacing w:line="240" w:lineRule="auto"/>
            </w:pPr>
            <w:r>
              <w:t>3.</w:t>
            </w:r>
          </w:p>
          <w:p w:rsidR="00807933" w:rsidRDefault="00807933">
            <w:pPr>
              <w:pStyle w:val="normal0"/>
              <w:spacing w:line="240" w:lineRule="auto"/>
            </w:pPr>
          </w:p>
        </w:tc>
      </w:tr>
    </w:tbl>
    <w:p w:rsidR="00807933" w:rsidRDefault="00807933">
      <w:pPr>
        <w:pStyle w:val="normal0"/>
      </w:pPr>
    </w:p>
    <w:p w:rsidR="00807933" w:rsidRDefault="00063C95">
      <w:pPr>
        <w:pStyle w:val="normal0"/>
      </w:pPr>
      <w:r>
        <w:t xml:space="preserve">2. Names of all applicants, </w:t>
      </w:r>
      <w:r w:rsidR="007F42DB">
        <w:t xml:space="preserve">position, </w:t>
      </w:r>
      <w:r>
        <w:t xml:space="preserve">status (permanent / non-permanent, post doc, technician...), short CV: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07933">
        <w:tc>
          <w:tcPr>
            <w:tcW w:w="3120" w:type="dxa"/>
            <w:tcMar>
              <w:top w:w="100" w:type="dxa"/>
              <w:left w:w="100" w:type="dxa"/>
              <w:bottom w:w="100" w:type="dxa"/>
              <w:right w:w="100" w:type="dxa"/>
            </w:tcMar>
          </w:tcPr>
          <w:p w:rsidR="00807933" w:rsidRDefault="00063C95">
            <w:pPr>
              <w:pStyle w:val="normal0"/>
              <w:widowControl w:val="0"/>
              <w:spacing w:line="240" w:lineRule="auto"/>
            </w:pPr>
            <w:r>
              <w:t xml:space="preserve">1. </w:t>
            </w:r>
          </w:p>
        </w:tc>
        <w:tc>
          <w:tcPr>
            <w:tcW w:w="3120" w:type="dxa"/>
            <w:tcMar>
              <w:top w:w="100" w:type="dxa"/>
              <w:left w:w="100" w:type="dxa"/>
              <w:bottom w:w="100" w:type="dxa"/>
              <w:right w:w="100" w:type="dxa"/>
            </w:tcMar>
          </w:tcPr>
          <w:p w:rsidR="00807933" w:rsidRDefault="00063C95">
            <w:pPr>
              <w:pStyle w:val="normal0"/>
              <w:widowControl w:val="0"/>
              <w:spacing w:line="240" w:lineRule="auto"/>
            </w:pPr>
            <w:r>
              <w:t xml:space="preserve">2. </w:t>
            </w:r>
          </w:p>
        </w:tc>
        <w:tc>
          <w:tcPr>
            <w:tcW w:w="3120" w:type="dxa"/>
            <w:tcMar>
              <w:top w:w="100" w:type="dxa"/>
              <w:left w:w="100" w:type="dxa"/>
              <w:bottom w:w="100" w:type="dxa"/>
              <w:right w:w="100" w:type="dxa"/>
            </w:tcMar>
          </w:tcPr>
          <w:p w:rsidR="00807933" w:rsidRDefault="00063C95">
            <w:pPr>
              <w:pStyle w:val="normal0"/>
              <w:widowControl w:val="0"/>
              <w:spacing w:line="240" w:lineRule="auto"/>
            </w:pPr>
            <w:r>
              <w:t xml:space="preserve">3. </w:t>
            </w: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tc>
      </w:tr>
    </w:tbl>
    <w:p w:rsidR="00807933" w:rsidRDefault="00807933">
      <w:pPr>
        <w:pStyle w:val="normal0"/>
      </w:pPr>
    </w:p>
    <w:p w:rsidR="00807933" w:rsidRDefault="00063C95">
      <w:pPr>
        <w:pStyle w:val="normal0"/>
      </w:pPr>
      <w:r>
        <w:t>3. Date / Duration of each EoP:</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07933">
        <w:tc>
          <w:tcPr>
            <w:tcW w:w="3120" w:type="dxa"/>
            <w:tcMar>
              <w:top w:w="100" w:type="dxa"/>
              <w:left w:w="100" w:type="dxa"/>
              <w:bottom w:w="100" w:type="dxa"/>
              <w:right w:w="100" w:type="dxa"/>
            </w:tcMar>
          </w:tcPr>
          <w:p w:rsidR="00807933" w:rsidRDefault="00063C95">
            <w:pPr>
              <w:pStyle w:val="normal0"/>
              <w:widowControl w:val="0"/>
              <w:spacing w:line="240" w:lineRule="auto"/>
            </w:pPr>
            <w:r>
              <w:t xml:space="preserve">1. </w:t>
            </w:r>
          </w:p>
        </w:tc>
        <w:tc>
          <w:tcPr>
            <w:tcW w:w="3120" w:type="dxa"/>
            <w:tcMar>
              <w:top w:w="100" w:type="dxa"/>
              <w:left w:w="100" w:type="dxa"/>
              <w:bottom w:w="100" w:type="dxa"/>
              <w:right w:w="100" w:type="dxa"/>
            </w:tcMar>
          </w:tcPr>
          <w:p w:rsidR="00807933" w:rsidRDefault="00063C95">
            <w:pPr>
              <w:pStyle w:val="normal0"/>
              <w:widowControl w:val="0"/>
              <w:spacing w:line="240" w:lineRule="auto"/>
            </w:pPr>
            <w:r>
              <w:t xml:space="preserve">2. </w:t>
            </w:r>
          </w:p>
        </w:tc>
        <w:tc>
          <w:tcPr>
            <w:tcW w:w="3120" w:type="dxa"/>
            <w:tcMar>
              <w:top w:w="100" w:type="dxa"/>
              <w:left w:w="100" w:type="dxa"/>
              <w:bottom w:w="100" w:type="dxa"/>
              <w:right w:w="100" w:type="dxa"/>
            </w:tcMar>
          </w:tcPr>
          <w:p w:rsidR="00807933" w:rsidRDefault="00063C95">
            <w:pPr>
              <w:pStyle w:val="normal0"/>
              <w:widowControl w:val="0"/>
              <w:spacing w:line="240" w:lineRule="auto"/>
            </w:pPr>
            <w:r>
              <w:t xml:space="preserve">3. </w:t>
            </w:r>
          </w:p>
        </w:tc>
      </w:tr>
    </w:tbl>
    <w:p w:rsidR="00807933" w:rsidRDefault="00807933">
      <w:pPr>
        <w:pStyle w:val="normal0"/>
      </w:pPr>
    </w:p>
    <w:p w:rsidR="00807933" w:rsidRDefault="00063C95">
      <w:pPr>
        <w:pStyle w:val="normal0"/>
      </w:pPr>
      <w:r>
        <w:t xml:space="preserve">4. Cost estimation + cost items for each EoP: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07933">
        <w:tc>
          <w:tcPr>
            <w:tcW w:w="3120" w:type="dxa"/>
            <w:tcMar>
              <w:top w:w="100" w:type="dxa"/>
              <w:left w:w="100" w:type="dxa"/>
              <w:bottom w:w="100" w:type="dxa"/>
              <w:right w:w="100" w:type="dxa"/>
            </w:tcMar>
          </w:tcPr>
          <w:p w:rsidR="00807933" w:rsidRDefault="00063C95">
            <w:pPr>
              <w:pStyle w:val="normal0"/>
              <w:widowControl w:val="0"/>
              <w:spacing w:line="240" w:lineRule="auto"/>
            </w:pPr>
            <w:r>
              <w:t xml:space="preserve">1. </w:t>
            </w:r>
          </w:p>
        </w:tc>
        <w:tc>
          <w:tcPr>
            <w:tcW w:w="3120" w:type="dxa"/>
            <w:tcMar>
              <w:top w:w="100" w:type="dxa"/>
              <w:left w:w="100" w:type="dxa"/>
              <w:bottom w:w="100" w:type="dxa"/>
              <w:right w:w="100" w:type="dxa"/>
            </w:tcMar>
          </w:tcPr>
          <w:p w:rsidR="00807933" w:rsidRDefault="00063C95">
            <w:pPr>
              <w:pStyle w:val="normal0"/>
              <w:widowControl w:val="0"/>
              <w:spacing w:line="240" w:lineRule="auto"/>
            </w:pPr>
            <w:r>
              <w:t xml:space="preserve">2. </w:t>
            </w:r>
          </w:p>
        </w:tc>
        <w:tc>
          <w:tcPr>
            <w:tcW w:w="3120" w:type="dxa"/>
            <w:tcMar>
              <w:top w:w="100" w:type="dxa"/>
              <w:left w:w="100" w:type="dxa"/>
              <w:bottom w:w="100" w:type="dxa"/>
              <w:right w:w="100" w:type="dxa"/>
            </w:tcMar>
          </w:tcPr>
          <w:p w:rsidR="00807933" w:rsidRDefault="00063C95">
            <w:pPr>
              <w:pStyle w:val="normal0"/>
              <w:widowControl w:val="0"/>
              <w:spacing w:line="240" w:lineRule="auto"/>
            </w:pPr>
            <w:r>
              <w:t xml:space="preserve">3. </w:t>
            </w:r>
          </w:p>
          <w:p w:rsidR="00807933" w:rsidRDefault="00807933">
            <w:pPr>
              <w:pStyle w:val="normal0"/>
              <w:widowControl w:val="0"/>
              <w:spacing w:line="240" w:lineRule="auto"/>
            </w:pPr>
          </w:p>
          <w:p w:rsidR="00807933" w:rsidRDefault="00807933">
            <w:pPr>
              <w:pStyle w:val="normal0"/>
              <w:widowControl w:val="0"/>
              <w:spacing w:line="240" w:lineRule="auto"/>
            </w:pPr>
          </w:p>
        </w:tc>
      </w:tr>
    </w:tbl>
    <w:p w:rsidR="00807933" w:rsidRDefault="00807933">
      <w:pPr>
        <w:pStyle w:val="normal0"/>
      </w:pPr>
    </w:p>
    <w:p w:rsidR="00807933" w:rsidRDefault="00063C95">
      <w:pPr>
        <w:pStyle w:val="normal0"/>
      </w:pPr>
      <w:r>
        <w:t xml:space="preserve">5. Description of planned </w:t>
      </w:r>
      <w:r w:rsidR="00B338EB">
        <w:t>activities</w:t>
      </w:r>
      <w:r w:rsidR="008322DE">
        <w:t>, their impact on the cross-fertilization</w:t>
      </w:r>
      <w:bookmarkStart w:id="2" w:name="_GoBack"/>
      <w:bookmarkEnd w:id="2"/>
      <w:r>
        <w:t>, planned methodology and implementation + WPs involved:</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7933">
        <w:tc>
          <w:tcPr>
            <w:tcW w:w="9360" w:type="dxa"/>
            <w:tcMar>
              <w:top w:w="100" w:type="dxa"/>
              <w:left w:w="100" w:type="dxa"/>
              <w:bottom w:w="100" w:type="dxa"/>
              <w:right w:w="100" w:type="dxa"/>
            </w:tcMar>
          </w:tcPr>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tc>
      </w:tr>
    </w:tbl>
    <w:p w:rsidR="00807933" w:rsidRDefault="00807933">
      <w:pPr>
        <w:pStyle w:val="normal0"/>
      </w:pPr>
    </w:p>
    <w:p w:rsidR="00807933" w:rsidRDefault="00063C95">
      <w:pPr>
        <w:pStyle w:val="normal0"/>
      </w:pPr>
      <w:r>
        <w:lastRenderedPageBreak/>
        <w:t>6. Access options to RI data infrastructure and logistic, technical support offered by involved RIs:</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7933">
        <w:tc>
          <w:tcPr>
            <w:tcW w:w="9360" w:type="dxa"/>
            <w:tcMar>
              <w:top w:w="100" w:type="dxa"/>
              <w:left w:w="100" w:type="dxa"/>
              <w:bottom w:w="100" w:type="dxa"/>
              <w:right w:w="100" w:type="dxa"/>
            </w:tcMar>
          </w:tcPr>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p w:rsidR="00807933" w:rsidRDefault="00807933">
            <w:pPr>
              <w:pStyle w:val="normal0"/>
              <w:widowControl w:val="0"/>
              <w:spacing w:line="240" w:lineRule="auto"/>
            </w:pPr>
          </w:p>
        </w:tc>
      </w:tr>
    </w:tbl>
    <w:p w:rsidR="00807933" w:rsidRDefault="00807933">
      <w:pPr>
        <w:pStyle w:val="normal0"/>
        <w:spacing w:after="200"/>
      </w:pPr>
    </w:p>
    <w:p w:rsidR="00807933" w:rsidRDefault="00063C95">
      <w:pPr>
        <w:pStyle w:val="normal0"/>
        <w:spacing w:after="200"/>
      </w:pPr>
      <w:r>
        <w:rPr>
          <w:b/>
        </w:rPr>
        <w:t>)*</w:t>
      </w:r>
      <w:r>
        <w:t xml:space="preserve"> </w:t>
      </w:r>
      <w:proofErr w:type="gramStart"/>
      <w:r>
        <w:rPr>
          <w:i/>
        </w:rPr>
        <w:t>add</w:t>
      </w:r>
      <w:proofErr w:type="gramEnd"/>
      <w:r>
        <w:rPr>
          <w:i/>
        </w:rPr>
        <w:t xml:space="preserve"> / delete rows / columns if required</w:t>
      </w:r>
    </w:p>
    <w:p w:rsidR="00807933" w:rsidRDefault="00807933">
      <w:pPr>
        <w:pStyle w:val="normal0"/>
        <w:spacing w:after="200"/>
      </w:pPr>
    </w:p>
    <w:p w:rsidR="00807933" w:rsidRDefault="00807933">
      <w:pPr>
        <w:pStyle w:val="normal0"/>
        <w:spacing w:after="200"/>
      </w:pPr>
    </w:p>
    <w:p w:rsidR="00807933" w:rsidRDefault="00063C95">
      <w:pPr>
        <w:pStyle w:val="Heading1"/>
        <w:contextualSpacing w:val="0"/>
      </w:pPr>
      <w:bookmarkStart w:id="3" w:name="h.qm2ijcfzk23h" w:colFirst="0" w:colLast="0"/>
      <w:bookmarkEnd w:id="3"/>
      <w:r>
        <w:t>Reimbursement</w:t>
      </w:r>
    </w:p>
    <w:p w:rsidR="00807933" w:rsidRDefault="00807933">
      <w:pPr>
        <w:pStyle w:val="normal0"/>
      </w:pPr>
    </w:p>
    <w:p w:rsidR="00807933" w:rsidRDefault="00063C95">
      <w:pPr>
        <w:pStyle w:val="normal0"/>
      </w:pPr>
      <w:r>
        <w:t xml:space="preserve">The applicants shall be reimbursed according to the applicable rules and regulations of their respective home institutions. The applicant is responsible for applying for and accounting the EoP at his or her institution of employment. The institution shall reimburse the applicant according to applicable national rules and regulations. </w:t>
      </w:r>
    </w:p>
    <w:p w:rsidR="00807933" w:rsidRDefault="00807933">
      <w:pPr>
        <w:pStyle w:val="normal0"/>
      </w:pPr>
    </w:p>
    <w:p w:rsidR="00807933" w:rsidRDefault="00063C95">
      <w:pPr>
        <w:pStyle w:val="normal0"/>
      </w:pPr>
      <w:r>
        <w:t xml:space="preserve">The applicable national regulations shall be the basis for the cost estimation, which is part of the EoP application to the ENVRIplus Executive Board. If required, the EB (or UniHB) will provide a letter of confirmation on the reimbursement of the EoPs costs based on the estimated details on the application, if the EoP is approved. </w:t>
      </w:r>
    </w:p>
    <w:p w:rsidR="00807933" w:rsidRDefault="00807933">
      <w:pPr>
        <w:pStyle w:val="normal0"/>
      </w:pPr>
    </w:p>
    <w:p w:rsidR="00807933" w:rsidRDefault="00063C95">
      <w:pPr>
        <w:pStyle w:val="normal0"/>
      </w:pPr>
      <w:r>
        <w:t xml:space="preserve">After successfully completing the EoP the employing institution shall be reimbursed by the UniHB invoice by providing a list of the total costs of the EoP and a formal invoice to the UniHB. </w:t>
      </w:r>
    </w:p>
    <w:p w:rsidR="00807933" w:rsidRDefault="00807933">
      <w:pPr>
        <w:pStyle w:val="normal0"/>
      </w:pPr>
    </w:p>
    <w:p w:rsidR="00807933" w:rsidRDefault="00063C95">
      <w:pPr>
        <w:pStyle w:val="normal0"/>
      </w:pPr>
      <w:r>
        <w:t xml:space="preserve">Requirement: The employing institution of the applicant is either partner of ENVRIplus or a verifiable associated RI. If exceptionally </w:t>
      </w:r>
      <w:proofErr w:type="gramStart"/>
      <w:r>
        <w:t>the applicant is employed by an external institution</w:t>
      </w:r>
      <w:proofErr w:type="gramEnd"/>
      <w:r>
        <w:t xml:space="preserve">, the hosting institution shall reimburse the applicant according to applicable national law and charge the costs to the UniHB. </w:t>
      </w:r>
    </w:p>
    <w:p w:rsidR="00807933" w:rsidRDefault="00807933">
      <w:pPr>
        <w:pStyle w:val="normal0"/>
        <w:spacing w:after="200"/>
      </w:pPr>
    </w:p>
    <w:sectPr w:rsidR="008079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trackRevisions/>
  <w:defaultTabStop w:val="720"/>
  <w:characterSpacingControl w:val="doNotCompress"/>
  <w:compat>
    <w:compatSetting w:name="compatibilityMode" w:uri="http://schemas.microsoft.com/office/word" w:val="14"/>
  </w:compat>
  <w:rsids>
    <w:rsidRoot w:val="00807933"/>
    <w:rsid w:val="00063C95"/>
    <w:rsid w:val="007F42DB"/>
    <w:rsid w:val="00807933"/>
    <w:rsid w:val="008322DE"/>
    <w:rsid w:val="00B33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42DB"/>
    <w:rPr>
      <w:sz w:val="18"/>
      <w:szCs w:val="18"/>
    </w:rPr>
  </w:style>
  <w:style w:type="paragraph" w:styleId="CommentText">
    <w:name w:val="annotation text"/>
    <w:basedOn w:val="Normal"/>
    <w:link w:val="CommentTextChar"/>
    <w:uiPriority w:val="99"/>
    <w:semiHidden/>
    <w:unhideWhenUsed/>
    <w:rsid w:val="007F42DB"/>
    <w:pPr>
      <w:spacing w:line="240" w:lineRule="auto"/>
    </w:pPr>
    <w:rPr>
      <w:sz w:val="24"/>
      <w:szCs w:val="24"/>
    </w:rPr>
  </w:style>
  <w:style w:type="character" w:customStyle="1" w:styleId="CommentTextChar">
    <w:name w:val="Comment Text Char"/>
    <w:basedOn w:val="DefaultParagraphFont"/>
    <w:link w:val="CommentText"/>
    <w:uiPriority w:val="99"/>
    <w:semiHidden/>
    <w:rsid w:val="007F42DB"/>
    <w:rPr>
      <w:sz w:val="24"/>
      <w:szCs w:val="24"/>
    </w:rPr>
  </w:style>
  <w:style w:type="paragraph" w:styleId="CommentSubject">
    <w:name w:val="annotation subject"/>
    <w:basedOn w:val="CommentText"/>
    <w:next w:val="CommentText"/>
    <w:link w:val="CommentSubjectChar"/>
    <w:uiPriority w:val="99"/>
    <w:semiHidden/>
    <w:unhideWhenUsed/>
    <w:rsid w:val="007F42DB"/>
    <w:rPr>
      <w:b/>
      <w:bCs/>
      <w:sz w:val="20"/>
      <w:szCs w:val="20"/>
    </w:rPr>
  </w:style>
  <w:style w:type="character" w:customStyle="1" w:styleId="CommentSubjectChar">
    <w:name w:val="Comment Subject Char"/>
    <w:basedOn w:val="CommentTextChar"/>
    <w:link w:val="CommentSubject"/>
    <w:uiPriority w:val="99"/>
    <w:semiHidden/>
    <w:rsid w:val="007F42DB"/>
    <w:rPr>
      <w:b/>
      <w:bCs/>
      <w:sz w:val="20"/>
      <w:szCs w:val="20"/>
    </w:rPr>
  </w:style>
  <w:style w:type="paragraph" w:styleId="BalloonText">
    <w:name w:val="Balloon Text"/>
    <w:basedOn w:val="Normal"/>
    <w:link w:val="BalloonTextChar"/>
    <w:uiPriority w:val="99"/>
    <w:semiHidden/>
    <w:unhideWhenUsed/>
    <w:rsid w:val="007F42D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42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42DB"/>
    <w:rPr>
      <w:sz w:val="18"/>
      <w:szCs w:val="18"/>
    </w:rPr>
  </w:style>
  <w:style w:type="paragraph" w:styleId="CommentText">
    <w:name w:val="annotation text"/>
    <w:basedOn w:val="Normal"/>
    <w:link w:val="CommentTextChar"/>
    <w:uiPriority w:val="99"/>
    <w:semiHidden/>
    <w:unhideWhenUsed/>
    <w:rsid w:val="007F42DB"/>
    <w:pPr>
      <w:spacing w:line="240" w:lineRule="auto"/>
    </w:pPr>
    <w:rPr>
      <w:sz w:val="24"/>
      <w:szCs w:val="24"/>
    </w:rPr>
  </w:style>
  <w:style w:type="character" w:customStyle="1" w:styleId="CommentTextChar">
    <w:name w:val="Comment Text Char"/>
    <w:basedOn w:val="DefaultParagraphFont"/>
    <w:link w:val="CommentText"/>
    <w:uiPriority w:val="99"/>
    <w:semiHidden/>
    <w:rsid w:val="007F42DB"/>
    <w:rPr>
      <w:sz w:val="24"/>
      <w:szCs w:val="24"/>
    </w:rPr>
  </w:style>
  <w:style w:type="paragraph" w:styleId="CommentSubject">
    <w:name w:val="annotation subject"/>
    <w:basedOn w:val="CommentText"/>
    <w:next w:val="CommentText"/>
    <w:link w:val="CommentSubjectChar"/>
    <w:uiPriority w:val="99"/>
    <w:semiHidden/>
    <w:unhideWhenUsed/>
    <w:rsid w:val="007F42DB"/>
    <w:rPr>
      <w:b/>
      <w:bCs/>
      <w:sz w:val="20"/>
      <w:szCs w:val="20"/>
    </w:rPr>
  </w:style>
  <w:style w:type="character" w:customStyle="1" w:styleId="CommentSubjectChar">
    <w:name w:val="Comment Subject Char"/>
    <w:basedOn w:val="CommentTextChar"/>
    <w:link w:val="CommentSubject"/>
    <w:uiPriority w:val="99"/>
    <w:semiHidden/>
    <w:rsid w:val="007F42DB"/>
    <w:rPr>
      <w:b/>
      <w:bCs/>
      <w:sz w:val="20"/>
      <w:szCs w:val="20"/>
    </w:rPr>
  </w:style>
  <w:style w:type="paragraph" w:styleId="BalloonText">
    <w:name w:val="Balloon Text"/>
    <w:basedOn w:val="Normal"/>
    <w:link w:val="BalloonTextChar"/>
    <w:uiPriority w:val="99"/>
    <w:semiHidden/>
    <w:unhideWhenUsed/>
    <w:rsid w:val="007F42D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42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1613</Characters>
  <Application>Microsoft Macintosh Word</Application>
  <DocSecurity>0</DocSecurity>
  <Lines>13</Lines>
  <Paragraphs>3</Paragraphs>
  <ScaleCrop>false</ScaleCrop>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Brus, Magdalena</cp:lastModifiedBy>
  <cp:revision>2</cp:revision>
  <dcterms:created xsi:type="dcterms:W3CDTF">2016-02-08T12:15:00Z</dcterms:created>
  <dcterms:modified xsi:type="dcterms:W3CDTF">2016-02-08T12:15:00Z</dcterms:modified>
</cp:coreProperties>
</file>